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仿宋_GB2312" w:hAnsi="Times New Roman" w:eastAsia="仿宋_GB2312" w:cs="Times New Roman"/>
          <w:kern w:val="0"/>
          <w:sz w:val="28"/>
          <w:szCs w:val="28"/>
          <w:lang w:val="en-US" w:eastAsia="zh-CN"/>
        </w:rPr>
      </w:pPr>
      <w:bookmarkStart w:id="0" w:name="_Hlk54795465"/>
      <w:r>
        <w:rPr>
          <w:rFonts w:hint="eastAsia" w:ascii="仿宋_GB2312" w:hAnsi="Times New Roman" w:eastAsia="仿宋_GB2312" w:cs="Times New Roman"/>
          <w:kern w:val="0"/>
          <w:sz w:val="28"/>
          <w:szCs w:val="28"/>
          <w:lang w:val="en-US" w:eastAsia="zh-CN"/>
        </w:rPr>
        <w:t>附件1</w:t>
      </w:r>
    </w:p>
    <w:p>
      <w:pPr>
        <w:widowControl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高校学生会组织深化改革评估备案表</w:t>
      </w:r>
      <w:bookmarkEnd w:id="0"/>
    </w:p>
    <w:p>
      <w:pPr>
        <w:widowControl/>
        <w:spacing w:line="56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组织名称：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宁波财经学院学生会 </w:t>
      </w:r>
    </w:p>
    <w:tbl>
      <w:tblPr>
        <w:tblStyle w:val="5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77"/>
        <w:gridCol w:w="6804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2.工作机构架构为“主席团+工作部门”模式，未在工作部门以上或以下设置“中心”、“项目办公室”等常设层级。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3.机构和人员规模</w:t>
            </w: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校级学生会组织工作人员不超过40人，学生人数较多、分校区较多的高校不超过60人。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实有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校级学生会组织主席团成员不超过5人。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实有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校级学生会组织工作部门不超过6个。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实有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4.除主席、副主席（探索实行轮值制度的高校为执行主席）、部长、副部长、干事外未设其他职务。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5.学生会组织工作人员为共产党员或共青团员。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6.学生会组织工作人员中除一年级新生外的本专科生最近1个学期/最近1学年/入学以来三者取其一，学习成绩综合排名在本专业前30%以内，且无课业不及格情况；研究生无课业不及格情况。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7.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8.主席团由学生代表大会（非其委员会、常务委员会、常任代表会议等）选举产生。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9.2019年10月以来召开了校级学生（研究生）代表大会。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召开日期为：2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020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年1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月3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10.校级学生（研究生）代表大会代表经班级团支部推荐、学院（系）组织选举产生。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11.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12.组建以学生代表为主，校党委学生工作部门、校团委等共同参与的校级学生会组织工作人员评议会；主席团成员和工作部门负责人每学期向评议会述职。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13.学生会组织工作人员参加评奖评优、测评加分、推荐免试攻读研究生等事项时，依据评议结果择优提名，未与其岗位简单挂钩。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14.学生会组织的建设纳入了学校党建工作整体规划；党组织定期听取学生会组织工作汇报，研究决定重大事项。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15.明确1名校团委专职副书记指导校级学生会组织；聘任校团委专职副书记或干部担任校级学生会组织秘书长。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16.学生对学生会组织整体工作的满意度（取样本对满意度调查问卷第7题选项为“满意”和“基本满意”比例之和。60%及以上为达标，以下为不达标）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满意率为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17.学生对学生会组织工作人员的满意度（取样本对满意度调查问卷第14题选项为“满意”和“基本满意”比例之和。达标标准同16项）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达标</w:t>
            </w: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满意率为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  <w:t>https://www.nbufe.edu.cn/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tw/show.html?id=54274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典型经验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服务同学品牌项目和主要内容（选填）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改进建议</w:t>
            </w:r>
          </w:p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学生会组织意见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对评估意见是否认可：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认可        □不认可                                     盖章：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高校团委</w:t>
            </w:r>
          </w:p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对评估意见是否认可：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Verdana" w:hAnsi="Verdana" w:eastAsia="宋体" w:cs="Times New Roman"/>
                <w:color w:val="000000"/>
                <w:spacing w:val="75"/>
                <w:kern w:val="0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认可        □不认可                                     盖章：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评估结论</w:t>
            </w:r>
          </w:p>
        </w:tc>
        <w:tc>
          <w:tcPr>
            <w:tcW w:w="10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 通过        □未通过                         工作组负责人签字：</w:t>
            </w:r>
          </w:p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</w:tbl>
    <w:p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BA"/>
    <w:rsid w:val="003778BA"/>
    <w:rsid w:val="00442EC6"/>
    <w:rsid w:val="004B49AE"/>
    <w:rsid w:val="004D3635"/>
    <w:rsid w:val="005D19C3"/>
    <w:rsid w:val="00680E73"/>
    <w:rsid w:val="006E14CC"/>
    <w:rsid w:val="0070095F"/>
    <w:rsid w:val="008C4907"/>
    <w:rsid w:val="008E6141"/>
    <w:rsid w:val="00911959"/>
    <w:rsid w:val="00964AE9"/>
    <w:rsid w:val="00D25CFB"/>
    <w:rsid w:val="00E94781"/>
    <w:rsid w:val="11051A99"/>
    <w:rsid w:val="36D74241"/>
    <w:rsid w:val="5CB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D57D9B-16DE-B149-9497-96E5065AA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1588</Characters>
  <Lines>13</Lines>
  <Paragraphs>3</Paragraphs>
  <TotalTime>31</TotalTime>
  <ScaleCrop>false</ScaleCrop>
  <LinksUpToDate>false</LinksUpToDate>
  <CharactersWithSpaces>1863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2020-10-30T00:48:00Z</dcterms:created>
  <dc:creator>匿名用户</dc:creator>
  <cp:lastModifiedBy>Tizzy</cp:lastModifiedBy>
  <dcterms:modified xsi:type="dcterms:W3CDTF">2020-11-23T09:16:48Z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