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中共宁波财经学院委员会第十九届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思想政治教育工作研讨会优秀论文获奖名单</w:t>
      </w:r>
    </w:p>
    <w:bookmarkEnd w:id="0"/>
    <w:tbl>
      <w:tblPr>
        <w:tblStyle w:val="6"/>
        <w:tblW w:w="101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6804"/>
        <w:gridCol w:w="1559"/>
        <w:gridCol w:w="9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序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号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论 文 题 目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作者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奖项级别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向度与范式:高校治理能力现代化视域下育人共同体建构研究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张海峰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一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等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教育赋能：“三全育人”视阈下民办高校教师协同育人能力提升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薛小东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“寓道于技”——宁财播音与主持艺术专业思政教育探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金重建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党史教育融入高校立德树人全过程：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价值意蕴、现实观照与路径选择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钟嘉雯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新时代民办高校学生党支部政治功能有效性发挥的路径研究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王冬辉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新时代高校提升理论宣讲水平的策略研究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张明珠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二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等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高校辅导员与学业导师参与学风建设协同机制探索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陈泓渊  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李晓鹏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“三全育人”视域下高校劳动教育的现实困境与路径选择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冯丹凤 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张营营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健全“三全育人”工作体系助力搭建高校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“劳动+”教育模式“新高地”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胡瑞千语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论民族历史认同教育赋能大学生群体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精神富有的理论逻辑与实践路径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王长和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探讨《摄影基础》课程中的思政元素融合策略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郦齐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体验教育在始业教育中的应用探索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张凯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立德树人视阈下提升大学生就业能力的路径研究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邬巧云  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杨虹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AI教育生态系统理论视域下高校“三全育人”实践路径探究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张振凤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高校艺术课程思政实施机理与路径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史光辉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宁波红色文化赋能高校思政教育的实践进路研究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王前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三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等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“三全育人”视域下数字媒体时代大学生网络诚信教育现状及对策研究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黄俊平  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张恩茂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疫情防控常态化下大学生网络舆情引导路径研究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张韶磊   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舒鑫健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“三全育人”背景下高校思政课程与课程思政的协同育人路径研究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范晓露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优势视角理论在高校心理育人工作的应用研究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袁冰洁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数据赋能提升高校发展型资助与心理育人耦合度研究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李宁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后疫情背景下课程思政融入《国际结算》课程的教学改革与实践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黄飞娜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hint="eastAsia" w:ascii="仿宋_GB2312" w:hAnsi="Times New Roman" w:eastAsia="仿宋_GB2312"/>
                <w:kern w:val="2"/>
              </w:rPr>
            </w:pPr>
            <w:r>
              <w:rPr>
                <w:rFonts w:hint="eastAsia" w:ascii="仿宋_GB2312" w:hAnsi="Times New Roman" w:eastAsia="仿宋_GB2312"/>
                <w:kern w:val="2"/>
              </w:rPr>
              <w:t>“文化+新媒体”：开辟新时代高等院校立德树人“新赛道”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周颖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“三全育人”视角下应用型本科院校经管类课程改革思考</w:t>
            </w:r>
          </w:p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——以宁波财经学院为例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史纪磊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民办高校网络育人存在的问题及对策分析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汪淅锋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课程思政理念下高校健美课程教学改革研究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方达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基于高校三全育人工作体系高质量建设的“四航贯通”助飞模式研究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皇甫贤昌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操作系统课程思政教学探索与实践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李艳 蒋力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课程思政背景下应用型民办院校开展劳动教育的路径探究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沈轶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高校育人群体心理健康关怀路径探析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张巧玲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ind w:firstLine="560" w:firstLineChars="200"/>
        <w:jc w:val="right"/>
        <w:rPr>
          <w:rFonts w:ascii="宋体" w:hAnsi="宋体" w:eastAsia="宋体"/>
          <w:sz w:val="28"/>
          <w:szCs w:val="28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mOGVkNGZmMmE1NjBhOWI5NzNjOWQ3MDY5MTM4YTMifQ=="/>
  </w:docVars>
  <w:rsids>
    <w:rsidRoot w:val="008F23C5"/>
    <w:rsid w:val="0008685E"/>
    <w:rsid w:val="002079EE"/>
    <w:rsid w:val="00536768"/>
    <w:rsid w:val="00580030"/>
    <w:rsid w:val="006F41F6"/>
    <w:rsid w:val="0072284B"/>
    <w:rsid w:val="008F23C5"/>
    <w:rsid w:val="00DB79AA"/>
    <w:rsid w:val="00DC5536"/>
    <w:rsid w:val="00E527BC"/>
    <w:rsid w:val="00FD4117"/>
    <w:rsid w:val="0E5D7C95"/>
    <w:rsid w:val="20AC3D82"/>
    <w:rsid w:val="29D53767"/>
    <w:rsid w:val="6C75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466CB"/>
      <w:u w:val="none"/>
    </w:rPr>
  </w:style>
  <w:style w:type="character" w:customStyle="1" w:styleId="9">
    <w:name w:val="日期 Char"/>
    <w:basedOn w:val="7"/>
    <w:link w:val="2"/>
    <w:semiHidden/>
    <w:uiPriority w:val="99"/>
  </w:style>
  <w:style w:type="character" w:customStyle="1" w:styleId="10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903</Words>
  <Characters>925</Characters>
  <Lines>10</Lines>
  <Paragraphs>3</Paragraphs>
  <TotalTime>16</TotalTime>
  <ScaleCrop>false</ScaleCrop>
  <LinksUpToDate>false</LinksUpToDate>
  <CharactersWithSpaces>939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2021-12-22T06:30:00Z</dcterms:created>
  <dc:creator>伟 王</dc:creator>
  <cp:lastModifiedBy>王轶群</cp:lastModifiedBy>
  <dcterms:modified xsi:type="dcterms:W3CDTF">2022-12-16T05:19:08Z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5824E8E4561944C09D6FECAFEAAB8293</vt:lpwstr>
  </property>
</Properties>
</file>